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5F69" w14:textId="77777777" w:rsidR="008D1A79" w:rsidRDefault="008D1A79"/>
    <w:p w14:paraId="0EEB3841" w14:textId="77777777" w:rsidR="00140229" w:rsidRDefault="00140229"/>
    <w:p w14:paraId="6C15DF45" w14:textId="77777777" w:rsidR="00140229" w:rsidRDefault="00140229"/>
    <w:p w14:paraId="60DD9F3B" w14:textId="72F3D2CF" w:rsidR="00441045" w:rsidRDefault="002A47C2">
      <w:r>
        <w:rPr>
          <w:noProof/>
        </w:rPr>
        <w:drawing>
          <wp:anchor distT="0" distB="0" distL="114300" distR="114300" simplePos="0" relativeHeight="251658240" behindDoc="0" locked="0" layoutInCell="1" allowOverlap="1" wp14:anchorId="6ECF0E93" wp14:editId="32ACA6F2">
            <wp:simplePos x="0" y="0"/>
            <wp:positionH relativeFrom="margin">
              <wp:align>left</wp:align>
            </wp:positionH>
            <wp:positionV relativeFrom="paragraph">
              <wp:posOffset>-373380</wp:posOffset>
            </wp:positionV>
            <wp:extent cx="973455" cy="523875"/>
            <wp:effectExtent l="0" t="0" r="0" b="9525"/>
            <wp:wrapNone/>
            <wp:docPr id="2106593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C6FDA" w14:textId="77777777" w:rsidR="008D1A79" w:rsidRDefault="008D1A79"/>
    <w:p w14:paraId="0120BD49" w14:textId="264D122B" w:rsidR="00441045" w:rsidRPr="00F63909" w:rsidRDefault="00441045">
      <w:pPr>
        <w:rPr>
          <w:rFonts w:ascii="Arial" w:hAnsi="Arial" w:cs="Arial"/>
        </w:rPr>
      </w:pPr>
      <w:r w:rsidRPr="00F63909">
        <w:rPr>
          <w:rFonts w:ascii="Arial" w:hAnsi="Arial" w:cs="Arial"/>
        </w:rPr>
        <w:t xml:space="preserve">June </w:t>
      </w:r>
      <w:r w:rsidR="00F0390C">
        <w:rPr>
          <w:rFonts w:ascii="Arial" w:hAnsi="Arial" w:cs="Arial"/>
        </w:rPr>
        <w:t>26</w:t>
      </w:r>
      <w:r w:rsidRPr="00F63909">
        <w:rPr>
          <w:rFonts w:ascii="Arial" w:hAnsi="Arial" w:cs="Arial"/>
        </w:rPr>
        <w:t>,2024</w:t>
      </w:r>
    </w:p>
    <w:p w14:paraId="2DD77315" w14:textId="77777777" w:rsidR="00441045" w:rsidRPr="00F63909" w:rsidRDefault="00441045">
      <w:pPr>
        <w:rPr>
          <w:rFonts w:ascii="Arial" w:hAnsi="Arial" w:cs="Arial"/>
        </w:rPr>
      </w:pPr>
    </w:p>
    <w:p w14:paraId="5292A14A" w14:textId="77777777" w:rsidR="00441045" w:rsidRDefault="00441045" w:rsidP="00441045">
      <w:pPr>
        <w:rPr>
          <w:rFonts w:ascii="Arial" w:hAnsi="Arial" w:cs="Arial"/>
        </w:rPr>
      </w:pPr>
      <w:r w:rsidRPr="00F63909">
        <w:rPr>
          <w:rFonts w:ascii="Arial" w:hAnsi="Arial" w:cs="Arial"/>
        </w:rPr>
        <w:t xml:space="preserve">Dear Valued Customer, </w:t>
      </w:r>
    </w:p>
    <w:p w14:paraId="4A3CFDFD" w14:textId="77777777" w:rsidR="00140229" w:rsidRPr="00F63909" w:rsidRDefault="00140229" w:rsidP="00441045">
      <w:pPr>
        <w:rPr>
          <w:rFonts w:ascii="Arial" w:hAnsi="Arial" w:cs="Arial"/>
        </w:rPr>
      </w:pPr>
    </w:p>
    <w:p w14:paraId="7719B2CE" w14:textId="570B3C7C" w:rsidR="00441045" w:rsidRPr="00F63909" w:rsidRDefault="00441045" w:rsidP="00441045">
      <w:pPr>
        <w:rPr>
          <w:rFonts w:ascii="Arial" w:hAnsi="Arial" w:cs="Arial"/>
        </w:rPr>
      </w:pPr>
      <w:r w:rsidRPr="00F63909">
        <w:rPr>
          <w:rFonts w:ascii="Arial" w:hAnsi="Arial" w:cs="Arial"/>
        </w:rPr>
        <w:t>Our CVC223</w:t>
      </w:r>
      <w:r w:rsidR="009E114F" w:rsidRPr="00F63909">
        <w:rPr>
          <w:rFonts w:ascii="Arial" w:hAnsi="Arial" w:cs="Arial"/>
        </w:rPr>
        <w:t xml:space="preserve"> kit </w:t>
      </w:r>
      <w:r w:rsidRPr="00F63909">
        <w:rPr>
          <w:rFonts w:ascii="Arial" w:hAnsi="Arial" w:cs="Arial"/>
        </w:rPr>
        <w:t>lot</w:t>
      </w:r>
      <w:r w:rsidR="009E114F" w:rsidRPr="00F63909">
        <w:rPr>
          <w:rFonts w:ascii="Arial" w:hAnsi="Arial" w:cs="Arial"/>
        </w:rPr>
        <w:t>:</w:t>
      </w:r>
      <w:r w:rsidRPr="00F63909">
        <w:rPr>
          <w:rFonts w:ascii="Arial" w:hAnsi="Arial" w:cs="Arial"/>
        </w:rPr>
        <w:t xml:space="preserve"> 322343</w:t>
      </w:r>
      <w:r w:rsidR="009E114F" w:rsidRPr="00F63909">
        <w:rPr>
          <w:rFonts w:ascii="Arial" w:hAnsi="Arial" w:cs="Arial"/>
        </w:rPr>
        <w:t xml:space="preserve"> Exp: 3/31/2025</w:t>
      </w:r>
      <w:r w:rsidRPr="00F63909">
        <w:rPr>
          <w:rFonts w:ascii="Arial" w:hAnsi="Arial" w:cs="Arial"/>
        </w:rPr>
        <w:t xml:space="preserve">, now has values for the Nova Stat Profile </w:t>
      </w:r>
      <w:proofErr w:type="spellStart"/>
      <w:r w:rsidRPr="00F63909">
        <w:rPr>
          <w:rFonts w:ascii="Arial" w:hAnsi="Arial" w:cs="Arial"/>
        </w:rPr>
        <w:t>pHOx</w:t>
      </w:r>
      <w:proofErr w:type="spellEnd"/>
      <w:r w:rsidRPr="00F63909">
        <w:rPr>
          <w:rFonts w:ascii="Arial" w:hAnsi="Arial" w:cs="Arial"/>
        </w:rPr>
        <w:t xml:space="preserve"> Ultra</w:t>
      </w:r>
      <w:r w:rsidR="00F63909" w:rsidRPr="00F63909">
        <w:rPr>
          <w:rFonts w:ascii="Arial" w:hAnsi="Arial" w:cs="Arial"/>
        </w:rPr>
        <w:t xml:space="preserve"> and the Prime Plus</w:t>
      </w:r>
      <w:r w:rsidRPr="00F63909">
        <w:rPr>
          <w:rFonts w:ascii="Arial" w:hAnsi="Arial" w:cs="Arial"/>
        </w:rPr>
        <w:t>.</w:t>
      </w:r>
    </w:p>
    <w:p w14:paraId="5E426F98" w14:textId="2FED7DE0" w:rsidR="00441045" w:rsidRDefault="00441045" w:rsidP="00441045">
      <w:pPr>
        <w:rPr>
          <w:rFonts w:ascii="Arial" w:hAnsi="Arial" w:cs="Arial"/>
        </w:rPr>
      </w:pPr>
      <w:r w:rsidRPr="00F63909">
        <w:rPr>
          <w:rFonts w:ascii="Arial" w:hAnsi="Arial" w:cs="Arial"/>
        </w:rPr>
        <w:t xml:space="preserve">Please see below for the instrument value assignments for this lot. </w:t>
      </w:r>
    </w:p>
    <w:p w14:paraId="1B7419B0" w14:textId="77777777" w:rsidR="00140229" w:rsidRPr="00F63909" w:rsidRDefault="00140229" w:rsidP="00441045">
      <w:pPr>
        <w:rPr>
          <w:rFonts w:ascii="Arial" w:hAnsi="Arial" w:cs="Arial"/>
        </w:rPr>
      </w:pPr>
    </w:p>
    <w:p w14:paraId="07CF5F59" w14:textId="23178AAC" w:rsidR="00F63909" w:rsidRPr="00F01F92" w:rsidRDefault="00F63909" w:rsidP="00441045">
      <w:pPr>
        <w:rPr>
          <w:rFonts w:ascii="Arial" w:hAnsi="Arial" w:cs="Arial"/>
          <w:b/>
          <w:bCs/>
        </w:rPr>
      </w:pPr>
      <w:proofErr w:type="spellStart"/>
      <w:r w:rsidRPr="00F01F92">
        <w:rPr>
          <w:rFonts w:ascii="Arial" w:hAnsi="Arial" w:cs="Arial"/>
          <w:b/>
          <w:bCs/>
        </w:rPr>
        <w:t>pHOx</w:t>
      </w:r>
      <w:proofErr w:type="spellEnd"/>
      <w:r w:rsidRPr="00F01F92">
        <w:rPr>
          <w:rFonts w:ascii="Arial" w:hAnsi="Arial" w:cs="Arial"/>
          <w:b/>
          <w:bCs/>
        </w:rPr>
        <w:t xml:space="preserve"> Ultra</w:t>
      </w:r>
    </w:p>
    <w:p w14:paraId="197828FF" w14:textId="5903EF88" w:rsidR="00441045" w:rsidRDefault="00F63909" w:rsidP="00441045">
      <w:r>
        <w:rPr>
          <w:noProof/>
        </w:rPr>
        <w:drawing>
          <wp:inline distT="0" distB="0" distL="0" distR="0" wp14:anchorId="07091A03" wp14:editId="1CDA6599">
            <wp:extent cx="6003003" cy="1438123"/>
            <wp:effectExtent l="0" t="0" r="0" b="0"/>
            <wp:docPr id="1875490981" name="Picture 1" descr="A table with numbers and a number of leve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90981" name="Picture 1" descr="A table with numbers and a number of level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9673" cy="144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03C2D" w14:textId="6EEDAE75" w:rsidR="00F63909" w:rsidRPr="00F01F92" w:rsidRDefault="00F63909" w:rsidP="00441045">
      <w:pPr>
        <w:rPr>
          <w:rFonts w:ascii="Arial" w:hAnsi="Arial" w:cs="Arial"/>
          <w:b/>
          <w:bCs/>
        </w:rPr>
      </w:pPr>
      <w:r w:rsidRPr="00F01F92">
        <w:rPr>
          <w:rFonts w:ascii="Arial" w:hAnsi="Arial" w:cs="Arial"/>
          <w:b/>
          <w:bCs/>
        </w:rPr>
        <w:t>Prime Plus</w:t>
      </w:r>
    </w:p>
    <w:p w14:paraId="752C74DF" w14:textId="5F589C39" w:rsidR="00F63909" w:rsidRDefault="00F63909" w:rsidP="00441045">
      <w:r>
        <w:rPr>
          <w:noProof/>
        </w:rPr>
        <w:drawing>
          <wp:inline distT="0" distB="0" distL="0" distR="0" wp14:anchorId="656E1B1C" wp14:editId="70CD3C4D">
            <wp:extent cx="6036310" cy="1619237"/>
            <wp:effectExtent l="0" t="0" r="2540" b="635"/>
            <wp:docPr id="1749135170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35170" name="Picture 1" descr="A table with numbers and symbol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9848" cy="164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7536" w14:textId="7B488BB8" w:rsidR="00441045" w:rsidRDefault="00441045" w:rsidP="004410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kern w:val="0"/>
          <w:sz w:val="24"/>
          <w:szCs w:val="24"/>
        </w:rPr>
      </w:pPr>
      <w:r w:rsidRPr="00E44ADF">
        <w:rPr>
          <w:rFonts w:ascii="Arial" w:hAnsi="Arial" w:cs="Arial"/>
          <w:color w:val="000000"/>
          <w:kern w:val="0"/>
        </w:rPr>
        <w:t xml:space="preserve">* </w:t>
      </w:r>
      <w:r w:rsidRPr="00E44ADF">
        <w:rPr>
          <w:rFonts w:ascii="Arial" w:hAnsi="Arial" w:cs="Arial"/>
          <w:color w:val="000000"/>
          <w:kern w:val="0"/>
        </w:rPr>
        <w:tab/>
        <w:t>The analyzer does not report results outside its analytical measurement range. The range for the indicated levels includes values (</w:t>
      </w:r>
      <w:r w:rsidRPr="00E44ADF">
        <w:rPr>
          <w:rFonts w:ascii="Arial" w:hAnsi="Arial" w:cs="Arial"/>
          <w:color w:val="FF0000"/>
          <w:kern w:val="0"/>
        </w:rPr>
        <w:t>in red</w:t>
      </w:r>
      <w:r w:rsidRPr="00E44ADF">
        <w:rPr>
          <w:rFonts w:ascii="Arial" w:hAnsi="Arial" w:cs="Arial"/>
          <w:color w:val="000000"/>
          <w:kern w:val="0"/>
        </w:rPr>
        <w:t>) that fall outside the analyzer’s measurement range. For these levels only, an out of measurement range status with no result is acceptable and should not be considered a failure</w:t>
      </w:r>
      <w:r w:rsidRPr="00F63909">
        <w:rPr>
          <w:rFonts w:ascii="Arial" w:hAnsi="Arial" w:cs="Arial"/>
          <w:color w:val="000000"/>
          <w:kern w:val="0"/>
          <w:sz w:val="24"/>
          <w:szCs w:val="24"/>
        </w:rPr>
        <w:t>.</w:t>
      </w:r>
    </w:p>
    <w:p w14:paraId="1A10009A" w14:textId="77777777" w:rsidR="00140229" w:rsidRPr="00F63909" w:rsidRDefault="00140229" w:rsidP="0044104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kern w:val="0"/>
          <w:sz w:val="24"/>
          <w:szCs w:val="24"/>
        </w:rPr>
      </w:pPr>
    </w:p>
    <w:p w14:paraId="35046E1B" w14:textId="47F373F8" w:rsidR="00441045" w:rsidRPr="00E44ADF" w:rsidRDefault="00441045" w:rsidP="006E433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kern w:val="0"/>
        </w:rPr>
      </w:pPr>
      <w:r w:rsidRPr="00E44ADF">
        <w:rPr>
          <w:rFonts w:ascii="Arial" w:hAnsi="Arial" w:cs="Arial"/>
          <w:color w:val="000000"/>
          <w:kern w:val="0"/>
        </w:rPr>
        <w:t xml:space="preserve">** </w:t>
      </w:r>
      <w:r w:rsidRPr="00E44ADF">
        <w:rPr>
          <w:rFonts w:ascii="Arial" w:hAnsi="Arial" w:cs="Arial"/>
          <w:color w:val="000000"/>
          <w:kern w:val="0"/>
        </w:rPr>
        <w:tab/>
        <w:t xml:space="preserve">The methemoglobin in this control can confirm product storage temperature integrity as well as the performance of the </w:t>
      </w:r>
      <w:proofErr w:type="spellStart"/>
      <w:r w:rsidRPr="00E44ADF">
        <w:rPr>
          <w:rFonts w:ascii="Arial" w:hAnsi="Arial" w:cs="Arial"/>
          <w:color w:val="000000"/>
          <w:kern w:val="0"/>
        </w:rPr>
        <w:t>MetHb</w:t>
      </w:r>
      <w:proofErr w:type="spellEnd"/>
      <w:r w:rsidR="006E433D" w:rsidRPr="00E44ADF">
        <w:rPr>
          <w:rFonts w:ascii="Arial" w:hAnsi="Arial" w:cs="Arial"/>
          <w:color w:val="000000"/>
          <w:kern w:val="0"/>
        </w:rPr>
        <w:t xml:space="preserve"> </w:t>
      </w:r>
      <w:r w:rsidRPr="00E44ADF">
        <w:rPr>
          <w:rFonts w:ascii="Arial" w:hAnsi="Arial" w:cs="Arial"/>
          <w:color w:val="000000"/>
          <w:kern w:val="0"/>
        </w:rPr>
        <w:t xml:space="preserve">channel on the </w:t>
      </w:r>
      <w:proofErr w:type="spellStart"/>
      <w:r w:rsidRPr="00E44ADF">
        <w:rPr>
          <w:rFonts w:ascii="Arial" w:hAnsi="Arial" w:cs="Arial"/>
          <w:color w:val="000000"/>
          <w:kern w:val="0"/>
        </w:rPr>
        <w:t>pHOx</w:t>
      </w:r>
      <w:proofErr w:type="spellEnd"/>
      <w:r w:rsidRPr="00E44ADF">
        <w:rPr>
          <w:rFonts w:ascii="Arial" w:hAnsi="Arial" w:cs="Arial"/>
          <w:color w:val="000000"/>
          <w:kern w:val="0"/>
        </w:rPr>
        <w:t xml:space="preserve"> Ultra </w:t>
      </w:r>
      <w:r w:rsidR="00675ECF">
        <w:rPr>
          <w:rFonts w:ascii="Arial" w:hAnsi="Arial" w:cs="Arial"/>
          <w:color w:val="000000"/>
          <w:kern w:val="0"/>
        </w:rPr>
        <w:t xml:space="preserve">or Prime Plus </w:t>
      </w:r>
      <w:r w:rsidRPr="00E44ADF">
        <w:rPr>
          <w:rFonts w:ascii="Arial" w:hAnsi="Arial" w:cs="Arial"/>
          <w:color w:val="000000"/>
          <w:kern w:val="0"/>
        </w:rPr>
        <w:t xml:space="preserve">analyzer. Because of its limited range of values, it will not be of significant value in determining linearity, calibration verification, and reportable range for </w:t>
      </w:r>
      <w:proofErr w:type="spellStart"/>
      <w:r w:rsidRPr="00E44ADF">
        <w:rPr>
          <w:rFonts w:ascii="Arial" w:hAnsi="Arial" w:cs="Arial"/>
          <w:color w:val="000000"/>
          <w:kern w:val="0"/>
        </w:rPr>
        <w:t>MetHb</w:t>
      </w:r>
      <w:proofErr w:type="spellEnd"/>
      <w:r w:rsidRPr="00E44ADF">
        <w:rPr>
          <w:rFonts w:ascii="Arial" w:hAnsi="Arial" w:cs="Arial"/>
          <w:color w:val="000000"/>
          <w:kern w:val="0"/>
        </w:rPr>
        <w:t>.</w:t>
      </w:r>
    </w:p>
    <w:p w14:paraId="260BDAD6" w14:textId="77777777" w:rsidR="006A31F6" w:rsidRPr="00E44ADF" w:rsidRDefault="006A31F6" w:rsidP="006A31F6">
      <w:pPr>
        <w:rPr>
          <w:rFonts w:ascii="Arial" w:hAnsi="Arial" w:cs="Arial"/>
        </w:rPr>
      </w:pPr>
    </w:p>
    <w:p w14:paraId="5A6B161B" w14:textId="6DF81027" w:rsidR="006A31F6" w:rsidRPr="00E44ADF" w:rsidRDefault="006A31F6" w:rsidP="006A31F6">
      <w:pPr>
        <w:rPr>
          <w:rFonts w:ascii="Arial" w:hAnsi="Arial" w:cs="Arial"/>
        </w:rPr>
      </w:pPr>
      <w:r w:rsidRPr="00E44ADF">
        <w:rPr>
          <w:rFonts w:ascii="Arial" w:hAnsi="Arial" w:cs="Arial"/>
        </w:rPr>
        <w:t>If you have any questions, please feel free to reach out using the contact information below.</w:t>
      </w:r>
    </w:p>
    <w:p w14:paraId="593BEAC4" w14:textId="77777777" w:rsidR="006A31F6" w:rsidRPr="00E44ADF" w:rsidRDefault="006A31F6" w:rsidP="006A31F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kern w:val="0"/>
        </w:rPr>
      </w:pPr>
    </w:p>
    <w:p w14:paraId="1FE723D3" w14:textId="77777777" w:rsidR="006A31F6" w:rsidRPr="00E44ADF" w:rsidRDefault="006A31F6" w:rsidP="006A31F6">
      <w:pPr>
        <w:pStyle w:val="Default"/>
        <w:rPr>
          <w:rFonts w:ascii="Arial" w:hAnsi="Arial" w:cs="Arial"/>
          <w:sz w:val="22"/>
          <w:szCs w:val="22"/>
        </w:rPr>
      </w:pPr>
      <w:r w:rsidRPr="00E44ADF">
        <w:rPr>
          <w:rFonts w:ascii="Arial" w:hAnsi="Arial" w:cs="Arial"/>
          <w:sz w:val="22"/>
          <w:szCs w:val="22"/>
        </w:rPr>
        <w:t xml:space="preserve">RNA Medical, Division of </w:t>
      </w:r>
      <w:proofErr w:type="spellStart"/>
      <w:r w:rsidRPr="00E44ADF">
        <w:rPr>
          <w:rFonts w:ascii="Arial" w:hAnsi="Arial" w:cs="Arial"/>
          <w:sz w:val="22"/>
          <w:szCs w:val="22"/>
        </w:rPr>
        <w:t>Bionostics</w:t>
      </w:r>
      <w:proofErr w:type="spellEnd"/>
      <w:r w:rsidRPr="00E44ADF">
        <w:rPr>
          <w:rFonts w:ascii="Arial" w:hAnsi="Arial" w:cs="Arial"/>
          <w:sz w:val="22"/>
          <w:szCs w:val="22"/>
        </w:rPr>
        <w:t xml:space="preserve">, Inc. </w:t>
      </w:r>
    </w:p>
    <w:p w14:paraId="0156211C" w14:textId="77777777" w:rsidR="006A31F6" w:rsidRPr="00E44ADF" w:rsidRDefault="006A31F6" w:rsidP="006A31F6">
      <w:pPr>
        <w:pStyle w:val="Default"/>
        <w:rPr>
          <w:rFonts w:ascii="Arial" w:hAnsi="Arial" w:cs="Arial"/>
          <w:sz w:val="22"/>
          <w:szCs w:val="22"/>
        </w:rPr>
      </w:pPr>
      <w:r w:rsidRPr="00E44ADF">
        <w:rPr>
          <w:rFonts w:ascii="Arial" w:hAnsi="Arial" w:cs="Arial"/>
          <w:sz w:val="22"/>
          <w:szCs w:val="22"/>
        </w:rPr>
        <w:t xml:space="preserve">7 Jackson Road </w:t>
      </w:r>
    </w:p>
    <w:p w14:paraId="6040DF46" w14:textId="77777777" w:rsidR="006A31F6" w:rsidRPr="00E44ADF" w:rsidRDefault="006A31F6" w:rsidP="006A31F6">
      <w:pPr>
        <w:pStyle w:val="Default"/>
        <w:rPr>
          <w:rFonts w:ascii="Arial" w:hAnsi="Arial" w:cs="Arial"/>
          <w:sz w:val="22"/>
          <w:szCs w:val="22"/>
        </w:rPr>
      </w:pPr>
      <w:r w:rsidRPr="00E44ADF">
        <w:rPr>
          <w:rFonts w:ascii="Arial" w:hAnsi="Arial" w:cs="Arial"/>
          <w:sz w:val="22"/>
          <w:szCs w:val="22"/>
        </w:rPr>
        <w:t xml:space="preserve">Devens, MA 01434 </w:t>
      </w:r>
    </w:p>
    <w:p w14:paraId="33C271CC" w14:textId="77777777" w:rsidR="006A31F6" w:rsidRPr="00E44ADF" w:rsidRDefault="006A31F6" w:rsidP="006A31F6">
      <w:pPr>
        <w:pStyle w:val="Default"/>
        <w:rPr>
          <w:rFonts w:ascii="Arial" w:hAnsi="Arial" w:cs="Arial"/>
          <w:sz w:val="22"/>
          <w:szCs w:val="22"/>
        </w:rPr>
      </w:pPr>
      <w:r w:rsidRPr="00E44ADF">
        <w:rPr>
          <w:rFonts w:ascii="Arial" w:hAnsi="Arial" w:cs="Arial"/>
          <w:sz w:val="22"/>
          <w:szCs w:val="22"/>
        </w:rPr>
        <w:t xml:space="preserve">Phone: 978-772-9070 / 800-533-6162 </w:t>
      </w:r>
    </w:p>
    <w:p w14:paraId="08665F85" w14:textId="015D111F" w:rsidR="006A31F6" w:rsidRPr="00E44ADF" w:rsidRDefault="006A31F6" w:rsidP="008D1A79">
      <w:pPr>
        <w:rPr>
          <w:rFonts w:ascii="Arial" w:hAnsi="Arial" w:cs="Arial"/>
        </w:rPr>
      </w:pPr>
      <w:r w:rsidRPr="00E44ADF">
        <w:rPr>
          <w:rFonts w:ascii="Arial" w:hAnsi="Arial" w:cs="Arial"/>
        </w:rPr>
        <w:t xml:space="preserve">E-Mail: customerservice@rnamedical.com </w:t>
      </w:r>
    </w:p>
    <w:sectPr w:rsidR="006A31F6" w:rsidRPr="00E44AD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11B7" w14:textId="77777777" w:rsidR="007563B7" w:rsidRDefault="007563B7" w:rsidP="00F63909">
      <w:pPr>
        <w:spacing w:after="0" w:line="240" w:lineRule="auto"/>
      </w:pPr>
      <w:r>
        <w:separator/>
      </w:r>
    </w:p>
  </w:endnote>
  <w:endnote w:type="continuationSeparator" w:id="0">
    <w:p w14:paraId="625F7694" w14:textId="77777777" w:rsidR="007563B7" w:rsidRDefault="007563B7" w:rsidP="00F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8502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24C74" w14:textId="77777777" w:rsidR="009219EF" w:rsidRDefault="001E6D7F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42FAAE12" w14:textId="5A636B8E" w:rsidR="001E6D7F" w:rsidRDefault="009219EF">
        <w:pPr>
          <w:pStyle w:val="Footer"/>
          <w:jc w:val="right"/>
        </w:pPr>
        <w:r>
          <w:rPr>
            <w:noProof/>
          </w:rPr>
          <w:t>BIOMKT-238, Rev A</w:t>
        </w:r>
      </w:p>
    </w:sdtContent>
  </w:sdt>
  <w:p w14:paraId="1ED08EE1" w14:textId="77777777" w:rsidR="001E6D7F" w:rsidRDefault="001E6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2E32" w14:textId="77777777" w:rsidR="007563B7" w:rsidRDefault="007563B7" w:rsidP="00F63909">
      <w:pPr>
        <w:spacing w:after="0" w:line="240" w:lineRule="auto"/>
      </w:pPr>
      <w:r>
        <w:separator/>
      </w:r>
    </w:p>
  </w:footnote>
  <w:footnote w:type="continuationSeparator" w:id="0">
    <w:p w14:paraId="0909F315" w14:textId="77777777" w:rsidR="007563B7" w:rsidRDefault="007563B7" w:rsidP="00F63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45"/>
    <w:rsid w:val="00082BC6"/>
    <w:rsid w:val="00140229"/>
    <w:rsid w:val="00145AA0"/>
    <w:rsid w:val="001E6D7F"/>
    <w:rsid w:val="002A47C2"/>
    <w:rsid w:val="00326F0F"/>
    <w:rsid w:val="00441045"/>
    <w:rsid w:val="00675ECF"/>
    <w:rsid w:val="006A31F6"/>
    <w:rsid w:val="006E433D"/>
    <w:rsid w:val="007563B7"/>
    <w:rsid w:val="008D1A79"/>
    <w:rsid w:val="009219EF"/>
    <w:rsid w:val="00944CE9"/>
    <w:rsid w:val="009E114F"/>
    <w:rsid w:val="00B603F5"/>
    <w:rsid w:val="00C04EAC"/>
    <w:rsid w:val="00C90FB8"/>
    <w:rsid w:val="00E02C21"/>
    <w:rsid w:val="00E44ADF"/>
    <w:rsid w:val="00F01F92"/>
    <w:rsid w:val="00F0390C"/>
    <w:rsid w:val="00F63909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BD02"/>
  <w15:chartTrackingRefBased/>
  <w15:docId w15:val="{CC0F6E3A-FD0E-43D2-B1DA-7B69FD2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045"/>
    <w:pPr>
      <w:ind w:left="720"/>
      <w:contextualSpacing/>
    </w:pPr>
  </w:style>
  <w:style w:type="paragraph" w:customStyle="1" w:styleId="Default">
    <w:name w:val="Default"/>
    <w:rsid w:val="006A31F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09"/>
  </w:style>
  <w:style w:type="paragraph" w:styleId="Footer">
    <w:name w:val="footer"/>
    <w:basedOn w:val="Normal"/>
    <w:link w:val="FooterChar"/>
    <w:uiPriority w:val="99"/>
    <w:unhideWhenUsed/>
    <w:rsid w:val="00F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909"/>
  </w:style>
  <w:style w:type="paragraph" w:styleId="Revision">
    <w:name w:val="Revision"/>
    <w:hidden/>
    <w:uiPriority w:val="99"/>
    <w:semiHidden/>
    <w:rsid w:val="00675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5446-36FF-4737-B30E-12326F1C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Bio-Techne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DeVescovi</dc:creator>
  <cp:keywords/>
  <dc:description/>
  <cp:lastModifiedBy>Tanya DeVescovi</cp:lastModifiedBy>
  <cp:revision>2</cp:revision>
  <cp:lastPrinted>2024-06-14T17:15:00Z</cp:lastPrinted>
  <dcterms:created xsi:type="dcterms:W3CDTF">2024-06-26T12:57:00Z</dcterms:created>
  <dcterms:modified xsi:type="dcterms:W3CDTF">2024-06-26T12:57:00Z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/>
  </property>
  <property fmtid="{D5CDD505-2E9C-101B-9397-08002B2CF9AE}" pid="3" name="MC_ReleaseDate">
    <vt:lpwstr/>
  </property>
  <property fmtid="{D5CDD505-2E9C-101B-9397-08002B2CF9AE}" pid="4" name="MC_Revision">
    <vt:lpwstr>A</vt:lpwstr>
  </property>
  <property fmtid="{D5CDD505-2E9C-101B-9397-08002B2CF9AE}" pid="5" name="MC_ExpirationDate">
    <vt:lpwstr/>
  </property>
  <property fmtid="{D5CDD505-2E9C-101B-9397-08002B2CF9AE}" pid="6" name="MC_CreatedDate">
    <vt:lpwstr>12 Jun 2024</vt:lpwstr>
  </property>
  <property fmtid="{D5CDD505-2E9C-101B-9397-08002B2CF9AE}" pid="7" name="MC_Status">
    <vt:lpwstr>Draft</vt:lpwstr>
  </property>
  <property fmtid="{D5CDD505-2E9C-101B-9397-08002B2CF9AE}" pid="8" name="MC_NextReviewDate">
    <vt:lpwstr/>
  </property>
  <property fmtid="{D5CDD505-2E9C-101B-9397-08002B2CF9AE}" pid="9" name="MC_Owner">
    <vt:lpwstr>TANYAD</vt:lpwstr>
  </property>
  <property fmtid="{D5CDD505-2E9C-101B-9397-08002B2CF9AE}" pid="10" name="MC_Title">
    <vt:lpwstr>CVC223 NOVA pHOX Ultra -Prime Plus Values</vt:lpwstr>
  </property>
  <property fmtid="{D5CDD505-2E9C-101B-9397-08002B2CF9AE}" pid="11" name="MC_Notes">
    <vt:lpwstr/>
  </property>
  <property fmtid="{D5CDD505-2E9C-101B-9397-08002B2CF9AE}" pid="12" name="MC_Number">
    <vt:lpwstr>BIOMKT-238</vt:lpwstr>
  </property>
  <property fmtid="{D5CDD505-2E9C-101B-9397-08002B2CF9AE}" pid="13" name="MC_Author">
    <vt:lpwstr>TANYAD</vt:lpwstr>
  </property>
  <property fmtid="{D5CDD505-2E9C-101B-9397-08002B2CF9AE}" pid="14" name="MC_Vault">
    <vt:lpwstr>BIO_SALES DRAFT</vt:lpwstr>
  </property>
</Properties>
</file>